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89B8D">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009BA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exact"/>
        </w:trPr>
        <w:tc>
          <w:tcPr>
            <w:tcW w:w="992" w:type="dxa"/>
            <w:tcBorders>
              <w:tl2br w:val="nil"/>
              <w:tr2bl w:val="nil"/>
            </w:tcBorders>
            <w:vAlign w:val="center"/>
          </w:tcPr>
          <w:p w14:paraId="3C37988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428A94F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688B8484">
            <w:pPr>
              <w:rPr>
                <w:rFonts w:ascii="仿宋" w:hAnsi="仿宋" w:eastAsia="仿宋" w:cs="仿宋"/>
                <w:color w:val="000000"/>
                <w:sz w:val="21"/>
                <w:szCs w:val="15"/>
              </w:rPr>
            </w:pPr>
            <w:r>
              <w:rPr>
                <w:rFonts w:hint="eastAsia" w:ascii="宋体" w:hAnsi="宋体" w:eastAsia="宋体" w:cs="仿宋"/>
                <w:b/>
                <w:color w:val="000000"/>
                <w:sz w:val="21"/>
                <w:szCs w:val="21"/>
              </w:rPr>
              <w:t>中国“企”示录——2025民营经济大调研</w:t>
            </w:r>
          </w:p>
        </w:tc>
        <w:tc>
          <w:tcPr>
            <w:tcW w:w="1819" w:type="dxa"/>
            <w:gridSpan w:val="2"/>
            <w:tcBorders>
              <w:tl2br w:val="nil"/>
              <w:tr2bl w:val="nil"/>
            </w:tcBorders>
            <w:vAlign w:val="center"/>
          </w:tcPr>
          <w:p w14:paraId="4D5962B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1CC9A8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34146A30">
            <w:pPr>
              <w:spacing w:line="240" w:lineRule="exact"/>
              <w:rPr>
                <w:rFonts w:ascii="仿宋" w:hAnsi="仿宋" w:eastAsia="仿宋" w:cs="仿宋"/>
                <w:color w:val="000000"/>
                <w:sz w:val="21"/>
                <w:szCs w:val="15"/>
              </w:rPr>
            </w:pPr>
            <w:r>
              <w:rPr>
                <w:rFonts w:hint="eastAsia" w:ascii="宋体" w:hAnsi="宋体" w:eastAsia="宋体" w:cs="仿宋"/>
                <w:b/>
                <w:color w:val="000000"/>
                <w:sz w:val="21"/>
                <w:szCs w:val="21"/>
              </w:rPr>
              <w:t>深度报道</w:t>
            </w:r>
          </w:p>
        </w:tc>
      </w:tr>
      <w:tr w14:paraId="366B5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09719AE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8283EA4">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6CB2672D">
            <w:pPr>
              <w:spacing w:line="240" w:lineRule="exact"/>
              <w:rPr>
                <w:rFonts w:ascii="宋体" w:hAnsi="宋体" w:eastAsia="宋体" w:cs="仿宋"/>
                <w:b/>
                <w:color w:val="000000"/>
                <w:sz w:val="21"/>
                <w:szCs w:val="21"/>
              </w:rPr>
            </w:pPr>
            <w:r>
              <w:rPr>
                <w:rFonts w:hint="eastAsia" w:ascii="宋体" w:hAnsi="宋体" w:eastAsia="宋体" w:cs="仿宋"/>
                <w:b/>
                <w:color w:val="000000"/>
                <w:sz w:val="21"/>
                <w:szCs w:val="21"/>
              </w:rPr>
              <w:t>代表作1：9</w:t>
            </w:r>
            <w:r>
              <w:rPr>
                <w:rFonts w:ascii="宋体" w:hAnsi="宋体" w:eastAsia="宋体" w:cs="仿宋"/>
                <w:b/>
                <w:color w:val="000000"/>
                <w:sz w:val="21"/>
                <w:szCs w:val="21"/>
              </w:rPr>
              <w:t>14</w:t>
            </w:r>
            <w:r>
              <w:rPr>
                <w:rFonts w:hint="eastAsia" w:ascii="宋体" w:hAnsi="宋体" w:eastAsia="宋体" w:cs="仿宋"/>
                <w:b/>
                <w:color w:val="000000"/>
                <w:sz w:val="21"/>
                <w:szCs w:val="21"/>
              </w:rPr>
              <w:t>9字；</w:t>
            </w:r>
          </w:p>
          <w:p w14:paraId="6E39DE53">
            <w:pPr>
              <w:spacing w:line="240" w:lineRule="exact"/>
              <w:rPr>
                <w:rFonts w:ascii="宋体" w:hAnsi="宋体" w:eastAsia="宋体" w:cs="仿宋"/>
                <w:b/>
                <w:color w:val="000000"/>
                <w:sz w:val="21"/>
                <w:szCs w:val="21"/>
              </w:rPr>
            </w:pPr>
            <w:r>
              <w:rPr>
                <w:rFonts w:hint="eastAsia" w:ascii="宋体" w:hAnsi="宋体" w:eastAsia="宋体" w:cs="仿宋"/>
                <w:b/>
                <w:color w:val="000000"/>
                <w:sz w:val="21"/>
                <w:szCs w:val="21"/>
              </w:rPr>
              <w:t>代表作2：7</w:t>
            </w:r>
            <w:r>
              <w:rPr>
                <w:rFonts w:ascii="宋体" w:hAnsi="宋体" w:eastAsia="宋体" w:cs="仿宋"/>
                <w:b/>
                <w:color w:val="000000"/>
                <w:sz w:val="21"/>
                <w:szCs w:val="21"/>
              </w:rPr>
              <w:t>834</w:t>
            </w:r>
            <w:r>
              <w:rPr>
                <w:rFonts w:hint="eastAsia" w:ascii="宋体" w:hAnsi="宋体" w:eastAsia="宋体" w:cs="仿宋"/>
                <w:b/>
                <w:color w:val="000000"/>
                <w:sz w:val="21"/>
                <w:szCs w:val="21"/>
              </w:rPr>
              <w:t>字；</w:t>
            </w:r>
          </w:p>
          <w:p w14:paraId="175B695D">
            <w:pPr>
              <w:spacing w:line="240" w:lineRule="exact"/>
              <w:rPr>
                <w:rFonts w:ascii="宋体" w:hAnsi="宋体" w:eastAsia="宋体" w:cs="仿宋"/>
                <w:b/>
                <w:color w:val="000000"/>
                <w:sz w:val="21"/>
                <w:szCs w:val="21"/>
              </w:rPr>
            </w:pPr>
            <w:r>
              <w:rPr>
                <w:rFonts w:hint="eastAsia" w:ascii="宋体" w:hAnsi="宋体" w:eastAsia="宋体" w:cs="仿宋"/>
                <w:b/>
                <w:color w:val="000000"/>
                <w:sz w:val="21"/>
                <w:szCs w:val="21"/>
              </w:rPr>
              <w:t>代表作3：</w:t>
            </w:r>
            <w:r>
              <w:rPr>
                <w:rFonts w:ascii="宋体" w:hAnsi="宋体" w:eastAsia="宋体" w:cs="仿宋"/>
                <w:b/>
                <w:color w:val="000000"/>
                <w:sz w:val="21"/>
                <w:szCs w:val="21"/>
              </w:rPr>
              <w:t>8985</w:t>
            </w:r>
            <w:r>
              <w:rPr>
                <w:rFonts w:hint="eastAsia" w:ascii="宋体" w:hAnsi="宋体" w:eastAsia="宋体" w:cs="仿宋"/>
                <w:b/>
                <w:color w:val="000000"/>
                <w:sz w:val="21"/>
                <w:szCs w:val="21"/>
              </w:rPr>
              <w:t>字。</w:t>
            </w:r>
          </w:p>
        </w:tc>
        <w:tc>
          <w:tcPr>
            <w:tcW w:w="1819" w:type="dxa"/>
            <w:gridSpan w:val="2"/>
            <w:tcBorders>
              <w:tl2br w:val="nil"/>
              <w:tr2bl w:val="nil"/>
            </w:tcBorders>
            <w:vAlign w:val="center"/>
          </w:tcPr>
          <w:p w14:paraId="7E6C2EF8">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C1F1585">
            <w:pPr>
              <w:spacing w:line="240" w:lineRule="exact"/>
              <w:rPr>
                <w:rFonts w:ascii="仿宋" w:hAnsi="仿宋" w:eastAsia="仿宋" w:cs="仿宋"/>
                <w:color w:val="000000"/>
                <w:sz w:val="21"/>
                <w:szCs w:val="15"/>
              </w:rPr>
            </w:pPr>
          </w:p>
        </w:tc>
      </w:tr>
      <w:tr w14:paraId="64F28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63AEED7A">
            <w:pPr>
              <w:spacing w:line="320" w:lineRule="exact"/>
              <w:jc w:val="center"/>
              <w:rPr>
                <w:rFonts w:ascii="华文中宋" w:hAnsi="华文中宋" w:eastAsia="华文中宋"/>
                <w:color w:val="000000"/>
                <w:sz w:val="28"/>
              </w:rPr>
            </w:pPr>
          </w:p>
        </w:tc>
        <w:tc>
          <w:tcPr>
            <w:tcW w:w="3728" w:type="dxa"/>
            <w:gridSpan w:val="4"/>
            <w:vMerge w:val="continue"/>
            <w:tcBorders>
              <w:tl2br w:val="nil"/>
              <w:tr2bl w:val="nil"/>
            </w:tcBorders>
            <w:vAlign w:val="center"/>
          </w:tcPr>
          <w:p w14:paraId="61B21FA5">
            <w:pPr>
              <w:spacing w:line="240" w:lineRule="exact"/>
              <w:rPr>
                <w:rFonts w:ascii="宋体" w:hAnsi="宋体" w:eastAsia="宋体" w:cs="仿宋"/>
                <w:b/>
                <w:color w:val="000000"/>
                <w:sz w:val="21"/>
                <w:szCs w:val="21"/>
              </w:rPr>
            </w:pPr>
          </w:p>
        </w:tc>
        <w:tc>
          <w:tcPr>
            <w:tcW w:w="1819" w:type="dxa"/>
            <w:gridSpan w:val="2"/>
            <w:tcBorders>
              <w:tl2br w:val="nil"/>
              <w:tr2bl w:val="nil"/>
            </w:tcBorders>
            <w:vAlign w:val="center"/>
          </w:tcPr>
          <w:p w14:paraId="34EF4B6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05C01F41">
            <w:pPr>
              <w:spacing w:line="240" w:lineRule="exact"/>
              <w:rPr>
                <w:rFonts w:ascii="宋体" w:hAnsi="宋体" w:eastAsia="宋体" w:cs="仿宋"/>
                <w:b/>
                <w:color w:val="000000"/>
                <w:sz w:val="21"/>
                <w:szCs w:val="21"/>
              </w:rPr>
            </w:pPr>
            <w:bookmarkStart w:id="0" w:name="_GoBack"/>
            <w:bookmarkEnd w:id="0"/>
          </w:p>
        </w:tc>
      </w:tr>
      <w:tr w14:paraId="28441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6" w:hRule="atLeast"/>
        </w:trPr>
        <w:tc>
          <w:tcPr>
            <w:tcW w:w="992" w:type="dxa"/>
            <w:tcBorders>
              <w:tl2br w:val="nil"/>
              <w:tr2bl w:val="nil"/>
            </w:tcBorders>
            <w:vAlign w:val="center"/>
          </w:tcPr>
          <w:p w14:paraId="2B484F7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AC81F87">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058243D3">
            <w:pPr>
              <w:spacing w:line="240" w:lineRule="exact"/>
              <w:rPr>
                <w:rFonts w:ascii="宋体" w:hAnsi="宋体" w:eastAsia="宋体" w:cs="仿宋"/>
                <w:b/>
                <w:color w:val="000000"/>
                <w:sz w:val="21"/>
                <w:szCs w:val="21"/>
              </w:rPr>
            </w:pPr>
            <w:r>
              <w:rPr>
                <w:rFonts w:hint="eastAsia" w:ascii="宋体" w:hAnsi="宋体" w:eastAsia="宋体" w:cs="仿宋"/>
                <w:b/>
                <w:color w:val="000000"/>
                <w:sz w:val="21"/>
                <w:szCs w:val="21"/>
              </w:rPr>
              <w:t>集体（赵东方、邱敏、武威、方晴、何颖思、钟达文、张露、申卉、王纳、贺涵甫、谢绮珊、庹亚男、何钻莹、罗宇）</w:t>
            </w:r>
          </w:p>
        </w:tc>
        <w:tc>
          <w:tcPr>
            <w:tcW w:w="1819" w:type="dxa"/>
            <w:gridSpan w:val="2"/>
            <w:tcBorders>
              <w:tl2br w:val="nil"/>
              <w:tr2bl w:val="nil"/>
            </w:tcBorders>
            <w:vAlign w:val="center"/>
          </w:tcPr>
          <w:p w14:paraId="7265B635">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68AC1170">
            <w:pPr>
              <w:spacing w:line="240" w:lineRule="exact"/>
              <w:rPr>
                <w:rFonts w:ascii="宋体" w:hAnsi="宋体" w:eastAsia="宋体" w:cs="仿宋"/>
                <w:b/>
                <w:color w:val="000000"/>
                <w:sz w:val="21"/>
                <w:szCs w:val="21"/>
              </w:rPr>
            </w:pPr>
            <w:r>
              <w:rPr>
                <w:rFonts w:hint="eastAsia" w:ascii="宋体" w:hAnsi="宋体" w:eastAsia="宋体" w:cs="仿宋"/>
                <w:b/>
                <w:color w:val="000000"/>
                <w:sz w:val="21"/>
                <w:szCs w:val="21"/>
              </w:rPr>
              <w:t>集体（汤新颖、张毓、占豪剑、黄婉华、黄思勤、高凯珅）</w:t>
            </w:r>
          </w:p>
        </w:tc>
      </w:tr>
      <w:tr w14:paraId="2F747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trPr>
        <w:tc>
          <w:tcPr>
            <w:tcW w:w="992" w:type="dxa"/>
            <w:tcBorders>
              <w:tl2br w:val="nil"/>
              <w:tr2bl w:val="nil"/>
            </w:tcBorders>
            <w:vAlign w:val="center"/>
          </w:tcPr>
          <w:p w14:paraId="7061E2B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63CD481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1168C743">
            <w:pPr>
              <w:spacing w:line="240" w:lineRule="exact"/>
              <w:rPr>
                <w:rFonts w:ascii="宋体" w:hAnsi="宋体" w:eastAsia="宋体" w:cs="仿宋"/>
                <w:b/>
                <w:color w:val="000000"/>
                <w:sz w:val="21"/>
                <w:szCs w:val="21"/>
              </w:rPr>
            </w:pPr>
            <w:r>
              <w:rPr>
                <w:rFonts w:hint="eastAsia" w:ascii="宋体" w:hAnsi="宋体" w:eastAsia="宋体" w:cs="仿宋"/>
                <w:b/>
                <w:color w:val="000000"/>
                <w:sz w:val="21"/>
                <w:szCs w:val="21"/>
              </w:rPr>
              <w:t>广州日报报业集团（广州日报社）</w:t>
            </w:r>
          </w:p>
        </w:tc>
        <w:tc>
          <w:tcPr>
            <w:tcW w:w="1819" w:type="dxa"/>
            <w:gridSpan w:val="2"/>
            <w:tcBorders>
              <w:tl2br w:val="nil"/>
              <w:tr2bl w:val="nil"/>
            </w:tcBorders>
            <w:vAlign w:val="center"/>
          </w:tcPr>
          <w:p w14:paraId="751B3575">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14543FAE">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03E2992A">
            <w:pPr>
              <w:spacing w:line="240" w:lineRule="exact"/>
              <w:rPr>
                <w:rFonts w:ascii="仿宋" w:hAnsi="仿宋" w:eastAsia="仿宋" w:cs="仿宋"/>
                <w:color w:val="000000"/>
                <w:sz w:val="21"/>
                <w:szCs w:val="15"/>
              </w:rPr>
            </w:pPr>
            <w:r>
              <w:rPr>
                <w:rFonts w:hint="eastAsia" w:ascii="宋体" w:hAnsi="宋体" w:eastAsia="宋体" w:cs="仿宋"/>
                <w:b/>
                <w:color w:val="000000"/>
                <w:sz w:val="21"/>
                <w:szCs w:val="21"/>
              </w:rPr>
              <w:t>《广州日报》、广州日报新花城客户端</w:t>
            </w:r>
          </w:p>
        </w:tc>
      </w:tr>
      <w:tr w14:paraId="65097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5" w:hRule="exact"/>
        </w:trPr>
        <w:tc>
          <w:tcPr>
            <w:tcW w:w="1504" w:type="dxa"/>
            <w:gridSpan w:val="2"/>
            <w:tcBorders>
              <w:tl2br w:val="nil"/>
              <w:tr2bl w:val="nil"/>
            </w:tcBorders>
            <w:vAlign w:val="center"/>
          </w:tcPr>
          <w:p w14:paraId="78F8B41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0A96E1F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3"/>
            <w:tcBorders>
              <w:tl2br w:val="nil"/>
              <w:tr2bl w:val="nil"/>
            </w:tcBorders>
            <w:vAlign w:val="center"/>
          </w:tcPr>
          <w:p w14:paraId="4B3BE755">
            <w:pPr>
              <w:spacing w:line="240" w:lineRule="exact"/>
              <w:rPr>
                <w:rFonts w:ascii="方正仿宋_GB2312" w:hAnsi="仿宋"/>
                <w:color w:val="000000"/>
                <w:szCs w:val="21"/>
              </w:rPr>
            </w:pPr>
            <w:r>
              <w:rPr>
                <w:rFonts w:hint="eastAsia" w:ascii="宋体" w:hAnsi="宋体" w:eastAsia="宋体" w:cs="仿宋"/>
                <w:b/>
                <w:color w:val="000000"/>
                <w:sz w:val="21"/>
                <w:szCs w:val="21"/>
              </w:rPr>
              <w:t>要闻4/5版、6/7版</w:t>
            </w:r>
          </w:p>
        </w:tc>
        <w:tc>
          <w:tcPr>
            <w:tcW w:w="872" w:type="dxa"/>
            <w:tcBorders>
              <w:tl2br w:val="nil"/>
              <w:tr2bl w:val="nil"/>
            </w:tcBorders>
            <w:vAlign w:val="center"/>
          </w:tcPr>
          <w:p w14:paraId="3826326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14:paraId="3EB7EF94">
            <w:pPr>
              <w:spacing w:line="240" w:lineRule="exact"/>
              <w:rPr>
                <w:rFonts w:ascii="方正仿宋_GB2312" w:hAnsi="仿宋"/>
                <w:color w:val="000000"/>
                <w:szCs w:val="21"/>
              </w:rPr>
            </w:pPr>
            <w:r>
              <w:rPr>
                <w:rFonts w:hint="eastAsia" w:ascii="宋体" w:hAnsi="宋体" w:eastAsia="宋体" w:cs="仿宋"/>
                <w:b/>
                <w:color w:val="000000"/>
                <w:sz w:val="21"/>
                <w:szCs w:val="21"/>
              </w:rPr>
              <w:t>2025年5月20日—8月5日</w:t>
            </w:r>
          </w:p>
        </w:tc>
      </w:tr>
      <w:tr w14:paraId="073B2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4C6212DD">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2F0924BF">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14:paraId="6528504A">
            <w:pPr>
              <w:spacing w:line="260" w:lineRule="exact"/>
              <w:rPr>
                <w:rFonts w:ascii="仿宋" w:hAnsi="仿宋" w:eastAsia="仿宋" w:cs="仿宋"/>
                <w:color w:val="000000"/>
                <w:sz w:val="21"/>
                <w:szCs w:val="15"/>
              </w:rPr>
            </w:pPr>
          </w:p>
          <w:p w14:paraId="00C1082B">
            <w:pPr>
              <w:spacing w:line="260" w:lineRule="exact"/>
              <w:rPr>
                <w:rFonts w:ascii="宋体" w:hAnsi="宋体" w:eastAsia="宋体" w:cs="仿宋"/>
                <w:b/>
                <w:color w:val="000000"/>
                <w:sz w:val="21"/>
                <w:szCs w:val="21"/>
              </w:rPr>
            </w:pPr>
            <w:r>
              <w:rPr>
                <w:rFonts w:hint="eastAsia" w:ascii="宋体" w:hAnsi="宋体" w:eastAsia="宋体" w:cs="仿宋"/>
                <w:b/>
                <w:color w:val="000000"/>
                <w:sz w:val="21"/>
                <w:szCs w:val="21"/>
              </w:rPr>
              <w:t>代表作1链接：</w:t>
            </w:r>
          </w:p>
          <w:p w14:paraId="6D9E269E">
            <w:pPr>
              <w:spacing w:line="260" w:lineRule="exact"/>
              <w:rPr>
                <w:rFonts w:ascii="仿宋" w:hAnsi="仿宋" w:eastAsia="仿宋" w:cs="仿宋"/>
                <w:color w:val="000000"/>
                <w:sz w:val="21"/>
                <w:szCs w:val="15"/>
              </w:rPr>
            </w:pPr>
            <w:r>
              <w:fldChar w:fldCharType="begin"/>
            </w:r>
            <w:r>
              <w:instrText xml:space="preserve"> HYPERLINK "https://huacheng.gz-cmc.com/pages/2025/05/27/7cbcc4e4e1eb40e185bba3ada8f78c53.html" </w:instrText>
            </w:r>
            <w:r>
              <w:fldChar w:fldCharType="separate"/>
            </w:r>
            <w:r>
              <w:rPr>
                <w:rStyle w:val="7"/>
                <w:rFonts w:ascii="仿宋" w:hAnsi="仿宋" w:eastAsia="仿宋" w:cs="仿宋"/>
                <w:sz w:val="21"/>
                <w:szCs w:val="15"/>
              </w:rPr>
              <w:t>https://huacheng.gz-cmc.com/pages/2025/05/27/7cbcc4e4e1eb40e185bba3ada8f78c53.html</w:t>
            </w:r>
            <w:r>
              <w:rPr>
                <w:rStyle w:val="7"/>
                <w:rFonts w:ascii="仿宋" w:hAnsi="仿宋" w:eastAsia="仿宋" w:cs="仿宋"/>
                <w:sz w:val="21"/>
                <w:szCs w:val="15"/>
              </w:rPr>
              <w:fldChar w:fldCharType="end"/>
            </w:r>
          </w:p>
          <w:p w14:paraId="70D5A7A9">
            <w:pPr>
              <w:spacing w:line="260" w:lineRule="exact"/>
              <w:rPr>
                <w:rFonts w:ascii="宋体" w:hAnsi="宋体" w:eastAsia="宋体" w:cs="仿宋"/>
                <w:b/>
                <w:color w:val="000000"/>
                <w:sz w:val="21"/>
                <w:szCs w:val="21"/>
              </w:rPr>
            </w:pPr>
            <w:r>
              <w:rPr>
                <w:rFonts w:hint="eastAsia" w:ascii="宋体" w:hAnsi="宋体" w:eastAsia="宋体" w:cs="仿宋"/>
                <w:b/>
                <w:color w:val="000000"/>
                <w:sz w:val="21"/>
                <w:szCs w:val="21"/>
              </w:rPr>
              <w:t>代表作2链接：</w:t>
            </w:r>
          </w:p>
          <w:p w14:paraId="25B1FEEE">
            <w:pPr>
              <w:spacing w:line="260" w:lineRule="exact"/>
              <w:rPr>
                <w:rFonts w:ascii="仿宋" w:hAnsi="仿宋" w:eastAsia="仿宋" w:cs="仿宋"/>
                <w:color w:val="000000"/>
                <w:sz w:val="21"/>
                <w:szCs w:val="15"/>
              </w:rPr>
            </w:pPr>
            <w:r>
              <w:fldChar w:fldCharType="begin"/>
            </w:r>
            <w:r>
              <w:instrText xml:space="preserve"> HYPERLINK "https://huacheng.gz-cmc.com/pages/2025/06/24/9ed664c5c2cb46b99810887be57f0059.html?channel=weixin" </w:instrText>
            </w:r>
            <w:r>
              <w:fldChar w:fldCharType="separate"/>
            </w:r>
            <w:r>
              <w:rPr>
                <w:rStyle w:val="7"/>
                <w:rFonts w:ascii="仿宋" w:hAnsi="仿宋" w:eastAsia="仿宋" w:cs="仿宋"/>
                <w:sz w:val="21"/>
                <w:szCs w:val="15"/>
              </w:rPr>
              <w:t>https://huacheng.gz-cmc.com/pages/2025/06/24/9ed664c5c2cb46b99810887be57f0059.html?channel=weixin</w:t>
            </w:r>
            <w:r>
              <w:rPr>
                <w:rStyle w:val="7"/>
                <w:rFonts w:ascii="仿宋" w:hAnsi="仿宋" w:eastAsia="仿宋" w:cs="仿宋"/>
                <w:sz w:val="21"/>
                <w:szCs w:val="15"/>
              </w:rPr>
              <w:fldChar w:fldCharType="end"/>
            </w:r>
          </w:p>
          <w:p w14:paraId="26DCE86F">
            <w:pPr>
              <w:spacing w:line="260" w:lineRule="exact"/>
              <w:rPr>
                <w:rFonts w:ascii="宋体" w:hAnsi="宋体" w:eastAsia="宋体" w:cs="仿宋"/>
                <w:b/>
                <w:color w:val="000000"/>
                <w:sz w:val="21"/>
                <w:szCs w:val="21"/>
              </w:rPr>
            </w:pPr>
            <w:r>
              <w:rPr>
                <w:rFonts w:hint="eastAsia" w:ascii="宋体" w:hAnsi="宋体" w:eastAsia="宋体" w:cs="仿宋"/>
                <w:b/>
                <w:color w:val="000000"/>
                <w:sz w:val="21"/>
                <w:szCs w:val="21"/>
              </w:rPr>
              <w:t>代表作3链接：</w:t>
            </w:r>
          </w:p>
          <w:p w14:paraId="140D01B0">
            <w:pPr>
              <w:spacing w:line="260" w:lineRule="exact"/>
              <w:rPr>
                <w:rFonts w:ascii="仿宋" w:hAnsi="仿宋" w:eastAsia="仿宋" w:cs="仿宋"/>
                <w:color w:val="000000"/>
                <w:sz w:val="21"/>
                <w:szCs w:val="15"/>
              </w:rPr>
            </w:pPr>
            <w:r>
              <w:fldChar w:fldCharType="begin"/>
            </w:r>
            <w:r>
              <w:instrText xml:space="preserve"> HYPERLINK "https://huacheng.gz-cmc.com/pages/2025/07/29/28972934fe0548429058d37d267f9dc1.html?channel=weixin" </w:instrText>
            </w:r>
            <w:r>
              <w:fldChar w:fldCharType="separate"/>
            </w:r>
            <w:r>
              <w:rPr>
                <w:rStyle w:val="7"/>
                <w:rFonts w:ascii="仿宋" w:hAnsi="仿宋" w:eastAsia="仿宋" w:cs="仿宋"/>
                <w:sz w:val="21"/>
                <w:szCs w:val="15"/>
              </w:rPr>
              <w:t>https://huacheng.gz-cmc.com/pages/2025/07/29/28972934fe0548429058d37d267f9dc1.html?channel=weixin</w:t>
            </w:r>
            <w:r>
              <w:rPr>
                <w:rStyle w:val="7"/>
                <w:rFonts w:ascii="仿宋" w:hAnsi="仿宋" w:eastAsia="仿宋" w:cs="仿宋"/>
                <w:sz w:val="21"/>
                <w:szCs w:val="15"/>
              </w:rPr>
              <w:fldChar w:fldCharType="end"/>
            </w:r>
            <w:r>
              <w:rPr>
                <w:rFonts w:hint="eastAsia" w:ascii="仿宋" w:hAnsi="仿宋" w:eastAsia="仿宋" w:cs="仿宋"/>
                <w:color w:val="000000"/>
                <w:sz w:val="21"/>
                <w:szCs w:val="15"/>
              </w:rPr>
              <w:t xml:space="preserve">                       </w:t>
            </w:r>
          </w:p>
          <w:p w14:paraId="28C590FC">
            <w:pPr>
              <w:spacing w:line="260" w:lineRule="exact"/>
              <w:rPr>
                <w:rFonts w:ascii="仿宋" w:hAnsi="仿宋" w:eastAsia="仿宋" w:cs="仿宋"/>
                <w:color w:val="000000"/>
                <w:sz w:val="21"/>
                <w:szCs w:val="15"/>
              </w:rPr>
            </w:pPr>
            <w:r>
              <w:rPr>
                <w:rFonts w:hint="eastAsia" w:ascii="仿宋" w:hAnsi="仿宋" w:eastAsia="仿宋" w:cs="仿宋"/>
                <w:color w:val="000000"/>
                <w:sz w:val="21"/>
                <w:szCs w:val="15"/>
              </w:rPr>
              <w:t xml:space="preserve">    </w:t>
            </w:r>
          </w:p>
          <w:p w14:paraId="62F0B4BE">
            <w:pPr>
              <w:spacing w:line="260" w:lineRule="exact"/>
              <w:ind w:firstLine="1260" w:firstLineChars="600"/>
              <w:rPr>
                <w:rFonts w:ascii="仿宋" w:hAnsi="仿宋" w:eastAsia="仿宋" w:cs="仿宋"/>
                <w:color w:val="000000"/>
                <w:sz w:val="21"/>
                <w:szCs w:val="15"/>
              </w:rPr>
            </w:pPr>
            <w:r>
              <w:rPr>
                <w:rFonts w:ascii="仿宋" w:hAnsi="仿宋" w:eastAsia="仿宋" w:cs="仿宋"/>
                <w:color w:val="000000"/>
                <w:sz w:val="21"/>
                <w:szCs w:val="15"/>
              </w:rPr>
              <w:drawing>
                <wp:anchor distT="0" distB="0" distL="114300" distR="114300" simplePos="0" relativeHeight="251659264" behindDoc="0" locked="0" layoutInCell="1" allowOverlap="1">
                  <wp:simplePos x="0" y="0"/>
                  <wp:positionH relativeFrom="margin">
                    <wp:posOffset>972820</wp:posOffset>
                  </wp:positionH>
                  <wp:positionV relativeFrom="margin">
                    <wp:posOffset>2320925</wp:posOffset>
                  </wp:positionV>
                  <wp:extent cx="779780" cy="774700"/>
                  <wp:effectExtent l="0" t="0" r="1270" b="635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779780" cy="774700"/>
                          </a:xfrm>
                          <a:prstGeom prst="rect">
                            <a:avLst/>
                          </a:prstGeom>
                          <a:noFill/>
                          <a:ln>
                            <a:noFill/>
                          </a:ln>
                        </pic:spPr>
                      </pic:pic>
                    </a:graphicData>
                  </a:graphic>
                </wp:anchor>
              </w:drawing>
            </w:r>
            <w:r>
              <w:rPr>
                <w:rFonts w:hint="eastAsia" w:ascii="仿宋" w:hAnsi="仿宋" w:eastAsia="仿宋" w:cs="仿宋"/>
                <w:color w:val="000000"/>
                <w:sz w:val="21"/>
                <w:szCs w:val="15"/>
              </w:rPr>
              <w:t xml:space="preserve">  </w:t>
            </w:r>
          </w:p>
          <w:p w14:paraId="04AFBAEA">
            <w:pPr>
              <w:spacing w:line="260" w:lineRule="exact"/>
              <w:rPr>
                <w:rFonts w:ascii="仿宋" w:hAnsi="仿宋" w:eastAsia="仿宋" w:cs="仿宋"/>
                <w:color w:val="000000"/>
                <w:sz w:val="21"/>
                <w:szCs w:val="15"/>
              </w:rPr>
            </w:pPr>
          </w:p>
          <w:p w14:paraId="555CA1BE">
            <w:pPr>
              <w:spacing w:line="26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14:paraId="06ADE2EE">
            <w:pPr>
              <w:spacing w:line="260" w:lineRule="exact"/>
              <w:rPr>
                <w:rFonts w:ascii="华文中宋" w:hAnsi="华文中宋" w:eastAsia="华文中宋"/>
                <w:color w:val="000000"/>
                <w:sz w:val="28"/>
              </w:rPr>
            </w:pPr>
          </w:p>
          <w:p w14:paraId="452B7277">
            <w:pPr>
              <w:spacing w:line="260" w:lineRule="exact"/>
              <w:rPr>
                <w:rFonts w:ascii="华文中宋" w:hAnsi="华文中宋" w:eastAsia="华文中宋"/>
                <w:color w:val="000000"/>
                <w:sz w:val="28"/>
              </w:rPr>
            </w:pPr>
            <w:r>
              <w:drawing>
                <wp:inline distT="0" distB="0" distL="0" distR="0">
                  <wp:extent cx="814705" cy="80391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14975" cy="804348"/>
                          </a:xfrm>
                          <a:prstGeom prst="rect">
                            <a:avLst/>
                          </a:prstGeom>
                          <a:noFill/>
                          <a:ln>
                            <a:noFill/>
                          </a:ln>
                        </pic:spPr>
                      </pic:pic>
                    </a:graphicData>
                  </a:graphic>
                </wp:inline>
              </w:drawing>
            </w:r>
            <w:r>
              <w:rPr>
                <w:rFonts w:ascii="仿宋" w:hAnsi="仿宋" w:eastAsia="仿宋" w:cs="仿宋"/>
                <w:color w:val="000000"/>
                <w:sz w:val="21"/>
                <w:szCs w:val="15"/>
              </w:rPr>
              <w:drawing>
                <wp:inline distT="0" distB="0" distL="0" distR="0">
                  <wp:extent cx="790575" cy="7905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90575" cy="790575"/>
                          </a:xfrm>
                          <a:prstGeom prst="rect">
                            <a:avLst/>
                          </a:prstGeom>
                          <a:noFill/>
                        </pic:spPr>
                      </pic:pic>
                    </a:graphicData>
                  </a:graphic>
                </wp:inline>
              </w:drawing>
            </w:r>
            <w:r>
              <w:rPr>
                <w:rFonts w:hint="eastAsia" w:ascii="华文中宋" w:hAnsi="华文中宋" w:eastAsia="华文中宋"/>
                <w:color w:val="000000"/>
                <w:sz w:val="28"/>
              </w:rPr>
              <w:t xml:space="preserve">                                </w:t>
            </w:r>
          </w:p>
          <w:p w14:paraId="0FFAB3F3">
            <w:pPr>
              <w:spacing w:line="260" w:lineRule="exact"/>
              <w:ind w:firstLine="211" w:firstLineChars="100"/>
              <w:rPr>
                <w:rFonts w:ascii="宋体" w:hAnsi="宋体" w:eastAsia="宋体" w:cs="仿宋"/>
                <w:b/>
                <w:color w:val="000000"/>
                <w:sz w:val="21"/>
                <w:szCs w:val="21"/>
              </w:rPr>
            </w:pPr>
            <w:r>
              <w:rPr>
                <w:rFonts w:hint="eastAsia" w:ascii="宋体" w:hAnsi="宋体" w:eastAsia="宋体" w:cs="仿宋"/>
                <w:b/>
                <w:color w:val="000000"/>
                <w:sz w:val="21"/>
                <w:szCs w:val="21"/>
              </w:rPr>
              <w:t>代表作1</w:t>
            </w:r>
            <w:r>
              <w:rPr>
                <w:rFonts w:ascii="宋体" w:hAnsi="宋体" w:eastAsia="宋体" w:cs="仿宋"/>
                <w:b/>
                <w:color w:val="000000"/>
                <w:sz w:val="21"/>
                <w:szCs w:val="21"/>
              </w:rPr>
              <w:t xml:space="preserve">       </w:t>
            </w:r>
            <w:r>
              <w:rPr>
                <w:rFonts w:hint="eastAsia" w:ascii="宋体" w:hAnsi="宋体" w:eastAsia="宋体" w:cs="仿宋"/>
                <w:b/>
                <w:color w:val="000000"/>
                <w:sz w:val="21"/>
                <w:szCs w:val="21"/>
              </w:rPr>
              <w:t>代表</w:t>
            </w:r>
            <w:r>
              <w:rPr>
                <w:rFonts w:ascii="宋体" w:hAnsi="宋体" w:eastAsia="宋体" w:cs="仿宋"/>
                <w:b/>
                <w:color w:val="000000"/>
                <w:sz w:val="21"/>
                <w:szCs w:val="21"/>
              </w:rPr>
              <w:t>作</w:t>
            </w:r>
            <w:r>
              <w:rPr>
                <w:rFonts w:hint="eastAsia" w:ascii="宋体" w:hAnsi="宋体" w:eastAsia="宋体" w:cs="仿宋"/>
                <w:b/>
                <w:color w:val="000000"/>
                <w:sz w:val="21"/>
                <w:szCs w:val="21"/>
              </w:rPr>
              <w:t>2</w:t>
            </w:r>
            <w:r>
              <w:rPr>
                <w:rFonts w:ascii="宋体" w:hAnsi="宋体" w:eastAsia="宋体" w:cs="仿宋"/>
                <w:b/>
                <w:color w:val="000000"/>
                <w:sz w:val="21"/>
                <w:szCs w:val="21"/>
              </w:rPr>
              <w:t xml:space="preserve">      </w:t>
            </w:r>
            <w:r>
              <w:rPr>
                <w:rFonts w:hint="eastAsia" w:ascii="宋体" w:hAnsi="宋体" w:eastAsia="宋体" w:cs="仿宋"/>
                <w:b/>
                <w:color w:val="000000"/>
                <w:sz w:val="21"/>
                <w:szCs w:val="21"/>
              </w:rPr>
              <w:t>代表</w:t>
            </w:r>
            <w:r>
              <w:rPr>
                <w:rFonts w:ascii="宋体" w:hAnsi="宋体" w:eastAsia="宋体" w:cs="仿宋"/>
                <w:b/>
                <w:color w:val="000000"/>
                <w:sz w:val="21"/>
                <w:szCs w:val="21"/>
              </w:rPr>
              <w:t>作</w:t>
            </w:r>
            <w:r>
              <w:rPr>
                <w:rFonts w:hint="eastAsia" w:ascii="宋体" w:hAnsi="宋体" w:eastAsia="宋体" w:cs="仿宋"/>
                <w:b/>
                <w:color w:val="000000"/>
                <w:sz w:val="21"/>
                <w:szCs w:val="21"/>
              </w:rPr>
              <w:t>3</w:t>
            </w:r>
          </w:p>
          <w:p w14:paraId="645DC422">
            <w:pPr>
              <w:spacing w:line="260" w:lineRule="exact"/>
              <w:ind w:firstLine="280" w:firstLineChars="100"/>
              <w:rPr>
                <w:rFonts w:ascii="华文中宋" w:hAnsi="华文中宋" w:eastAsia="华文中宋"/>
                <w:color w:val="000000"/>
                <w:sz w:val="28"/>
              </w:rPr>
            </w:pPr>
          </w:p>
        </w:tc>
        <w:tc>
          <w:tcPr>
            <w:tcW w:w="1742" w:type="dxa"/>
            <w:gridSpan w:val="2"/>
            <w:tcBorders>
              <w:tl2br w:val="nil"/>
              <w:tr2bl w:val="nil"/>
            </w:tcBorders>
            <w:vAlign w:val="center"/>
          </w:tcPr>
          <w:p w14:paraId="69F4B130">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439952AD">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0C182DE1">
            <w:pPr>
              <w:spacing w:line="260" w:lineRule="exact"/>
              <w:rPr>
                <w:rFonts w:ascii="华文中宋" w:hAnsi="华文中宋" w:eastAsia="华文中宋"/>
                <w:color w:val="000000"/>
                <w:sz w:val="28"/>
              </w:rPr>
            </w:pPr>
            <w:r>
              <w:rPr>
                <w:rFonts w:hint="eastAsia" w:ascii="宋体" w:hAnsi="宋体" w:eastAsia="宋体" w:cs="仿宋"/>
                <w:b/>
                <w:color w:val="000000"/>
                <w:sz w:val="21"/>
                <w:szCs w:val="21"/>
              </w:rPr>
              <w:t>否</w:t>
            </w:r>
          </w:p>
        </w:tc>
      </w:tr>
      <w:tr w14:paraId="22793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0FC70E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7F4713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518EC7D">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73B0CF9E">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14:paraId="78E60B2A">
            <w:pPr>
              <w:ind w:firstLine="422" w:firstLineChars="200"/>
              <w:rPr>
                <w:rFonts w:ascii="宋体" w:hAnsi="宋体" w:eastAsia="宋体" w:cs="仿宋"/>
                <w:b/>
                <w:color w:val="000000"/>
                <w:sz w:val="21"/>
                <w:szCs w:val="21"/>
              </w:rPr>
            </w:pPr>
          </w:p>
          <w:p w14:paraId="1919A21B">
            <w:pPr>
              <w:ind w:firstLine="422" w:firstLineChars="200"/>
              <w:rPr>
                <w:rFonts w:ascii="宋体" w:hAnsi="宋体" w:eastAsia="宋体" w:cs="仿宋"/>
                <w:b/>
                <w:color w:val="000000"/>
                <w:sz w:val="21"/>
                <w:szCs w:val="21"/>
              </w:rPr>
            </w:pPr>
            <w:r>
              <w:rPr>
                <w:rFonts w:hint="eastAsia" w:ascii="宋体" w:hAnsi="宋体" w:eastAsia="宋体" w:cs="仿宋"/>
                <w:b/>
                <w:color w:val="000000"/>
                <w:sz w:val="21"/>
                <w:szCs w:val="21"/>
              </w:rPr>
              <w:t>以习近平总书记在民营企业座谈会上的重要讲话精神为</w:t>
            </w:r>
            <w:r>
              <w:rPr>
                <w:rFonts w:ascii="宋体" w:hAnsi="宋体" w:eastAsia="宋体" w:cs="仿宋"/>
                <w:b/>
                <w:color w:val="000000"/>
                <w:sz w:val="21"/>
                <w:szCs w:val="21"/>
              </w:rPr>
              <w:t>指引</w:t>
            </w:r>
            <w:r>
              <w:rPr>
                <w:rFonts w:hint="eastAsia" w:ascii="宋体" w:hAnsi="宋体" w:eastAsia="宋体" w:cs="仿宋"/>
                <w:b/>
                <w:color w:val="000000"/>
                <w:sz w:val="21"/>
                <w:szCs w:val="21"/>
              </w:rPr>
              <w:t>，广州日报聚焦民营企业的成长模式和各地厚植民企“沃土”的有益经验，在民营经济促进法施行当日开始推出《中国“企”示录——2025民营经济大调研》融媒体</w:t>
            </w:r>
            <w:r>
              <w:rPr>
                <w:rFonts w:ascii="宋体" w:hAnsi="宋体" w:eastAsia="宋体" w:cs="仿宋"/>
                <w:b/>
                <w:color w:val="000000"/>
                <w:sz w:val="21"/>
                <w:szCs w:val="21"/>
              </w:rPr>
              <w:t>报道</w:t>
            </w:r>
            <w:r>
              <w:rPr>
                <w:rFonts w:hint="eastAsia" w:ascii="宋体" w:hAnsi="宋体" w:eastAsia="宋体" w:cs="仿宋"/>
                <w:b/>
                <w:color w:val="000000"/>
                <w:sz w:val="21"/>
                <w:szCs w:val="21"/>
              </w:rPr>
              <w:t>。8个全媒体小组奔赴全国12座城市，对30余家样本民企开展行进式调研，蹲点车间、工厂和实验室，对话企业负责人，采访政府部门、专家学者，采撷企业高质量发展的“成长记”，挖掘提炼当地服务民营经济的“筑巢策”“引凤经”。通过1</w:t>
            </w:r>
            <w:r>
              <w:rPr>
                <w:rFonts w:ascii="宋体" w:hAnsi="宋体" w:eastAsia="宋体" w:cs="仿宋"/>
                <w:b/>
                <w:color w:val="000000"/>
                <w:sz w:val="21"/>
                <w:szCs w:val="21"/>
              </w:rPr>
              <w:t>3</w:t>
            </w:r>
            <w:r>
              <w:rPr>
                <w:rFonts w:hint="eastAsia" w:ascii="宋体" w:hAnsi="宋体" w:eastAsia="宋体" w:cs="仿宋"/>
                <w:b/>
                <w:color w:val="000000"/>
                <w:sz w:val="21"/>
                <w:szCs w:val="21"/>
              </w:rPr>
              <w:t>期深度报道、13期《了不起的民企》视频Vlog以及H5产品，勾勒出一幅民营企业与城市共荣共生的发展图鉴，高分贝唱响“中国经济光明论”。</w:t>
            </w:r>
          </w:p>
          <w:p w14:paraId="43F7652D">
            <w:pPr>
              <w:ind w:firstLine="422" w:firstLineChars="200"/>
              <w:rPr>
                <w:rFonts w:ascii="宋体" w:hAnsi="宋体" w:eastAsia="宋体" w:cs="仿宋"/>
                <w:b/>
                <w:color w:val="000000"/>
                <w:sz w:val="21"/>
                <w:szCs w:val="21"/>
              </w:rPr>
            </w:pPr>
            <w:r>
              <w:rPr>
                <w:rFonts w:hint="eastAsia" w:ascii="宋体" w:hAnsi="宋体" w:eastAsia="宋体" w:cs="仿宋"/>
                <w:b/>
                <w:color w:val="000000"/>
                <w:sz w:val="21"/>
                <w:szCs w:val="21"/>
              </w:rPr>
              <w:t>该报道通过</w:t>
            </w:r>
            <w:r>
              <w:rPr>
                <w:rFonts w:ascii="宋体" w:hAnsi="宋体" w:eastAsia="宋体" w:cs="仿宋"/>
                <w:b/>
                <w:color w:val="000000"/>
                <w:sz w:val="21"/>
                <w:szCs w:val="21"/>
              </w:rPr>
              <w:t>广州日报</w:t>
            </w:r>
            <w:r>
              <w:rPr>
                <w:rFonts w:hint="eastAsia" w:ascii="宋体" w:hAnsi="宋体" w:eastAsia="宋体" w:cs="仿宋"/>
                <w:b/>
                <w:color w:val="000000"/>
                <w:sz w:val="21"/>
                <w:szCs w:val="21"/>
              </w:rPr>
              <w:t>融媒体</w:t>
            </w:r>
            <w:r>
              <w:rPr>
                <w:rFonts w:ascii="宋体" w:hAnsi="宋体" w:eastAsia="宋体" w:cs="仿宋"/>
                <w:b/>
                <w:color w:val="000000"/>
                <w:sz w:val="21"/>
                <w:szCs w:val="21"/>
              </w:rPr>
              <w:t>矩阵开展</w:t>
            </w:r>
            <w:r>
              <w:rPr>
                <w:rFonts w:hint="eastAsia" w:ascii="宋体" w:hAnsi="宋体" w:eastAsia="宋体" w:cs="仿宋"/>
                <w:b/>
                <w:color w:val="000000"/>
                <w:sz w:val="21"/>
                <w:szCs w:val="21"/>
              </w:rPr>
              <w:t>立体传播，还与上观新闻、深圳特区报、杭州日报、重庆日报、西安日报等十余城市主流党媒融媒矩阵进行联动发布，取得</w:t>
            </w:r>
            <w:r>
              <w:rPr>
                <w:rFonts w:ascii="宋体" w:hAnsi="宋体" w:eastAsia="宋体" w:cs="仿宋"/>
                <w:b/>
                <w:color w:val="000000"/>
                <w:sz w:val="21"/>
                <w:szCs w:val="21"/>
              </w:rPr>
              <w:t>广泛传播效果</w:t>
            </w:r>
            <w:r>
              <w:rPr>
                <w:rFonts w:hint="eastAsia" w:ascii="宋体" w:hAnsi="宋体" w:eastAsia="宋体" w:cs="仿宋"/>
                <w:b/>
                <w:color w:val="000000"/>
                <w:sz w:val="21"/>
                <w:szCs w:val="21"/>
              </w:rPr>
              <w:t>。多篇</w:t>
            </w:r>
            <w:r>
              <w:rPr>
                <w:rFonts w:ascii="宋体" w:hAnsi="宋体" w:eastAsia="宋体" w:cs="仿宋"/>
                <w:b/>
                <w:color w:val="000000"/>
                <w:sz w:val="21"/>
                <w:szCs w:val="21"/>
              </w:rPr>
              <w:t>报道</w:t>
            </w:r>
            <w:r>
              <w:rPr>
                <w:rFonts w:hint="eastAsia" w:ascii="宋体" w:hAnsi="宋体" w:eastAsia="宋体" w:cs="仿宋"/>
                <w:b/>
                <w:color w:val="000000"/>
                <w:sz w:val="21"/>
                <w:szCs w:val="21"/>
              </w:rPr>
              <w:t>被武汉市经济和信息化局、长沙市商务局等政府部门官方平台转载。基于报道形成的资政建言报告被《穗府信息》刊发</w:t>
            </w:r>
            <w:r>
              <w:rPr>
                <w:rFonts w:ascii="宋体" w:hAnsi="宋体" w:eastAsia="宋体" w:cs="仿宋"/>
                <w:b/>
                <w:color w:val="000000"/>
                <w:sz w:val="21"/>
                <w:szCs w:val="21"/>
              </w:rPr>
              <w:t>，并</w:t>
            </w:r>
            <w:r>
              <w:rPr>
                <w:rFonts w:hint="eastAsia" w:ascii="宋体" w:hAnsi="宋体" w:eastAsia="宋体" w:cs="仿宋"/>
                <w:b/>
                <w:color w:val="000000"/>
                <w:sz w:val="21"/>
                <w:szCs w:val="21"/>
              </w:rPr>
              <w:t>获广州市政府领导批示，为政府优化营商环境政策提供了有益参考。同步推出的视频Vlog注重网感表达，多个话题获热转并登上同城热搜。系列报道获广东省委宣传部主要负责同志表扬和专题阅评表扬。</w:t>
            </w:r>
          </w:p>
        </w:tc>
      </w:tr>
      <w:tr w14:paraId="6FE9A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31A088B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72C8CDE4">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24AF09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7CE446B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7BE6346F">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3692549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14:paraId="34A742E9">
            <w:pPr>
              <w:spacing w:line="280" w:lineRule="exact"/>
              <w:rPr>
                <w:rFonts w:ascii="仿宋" w:hAnsi="仿宋" w:eastAsia="仿宋"/>
                <w:color w:val="000000"/>
                <w:szCs w:val="21"/>
              </w:rPr>
            </w:pPr>
            <w:r>
              <w:rPr>
                <w:rFonts w:ascii="仿宋" w:hAnsi="仿宋" w:eastAsia="仿宋" w:cs="仿宋"/>
                <w:color w:val="000000"/>
                <w:spacing w:val="-6"/>
                <w:sz w:val="21"/>
                <w:szCs w:val="21"/>
                <w:lang w:bidi="ar"/>
              </w:rPr>
              <w:t>https://mp.weixin.qq.com/mp/appmsgalbum?__biz=MjM5MjA0MDk2MA==&amp;action=getalbum&amp;album_id=4005053751290642439#wechat_redirect</w:t>
            </w:r>
          </w:p>
        </w:tc>
      </w:tr>
      <w:tr w14:paraId="3942A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312E8EEE">
            <w:pPr>
              <w:spacing w:line="320" w:lineRule="exact"/>
              <w:jc w:val="center"/>
              <w:rPr>
                <w:rFonts w:ascii="华文中宋" w:hAnsi="华文中宋" w:eastAsia="华文中宋"/>
                <w:color w:val="000000"/>
                <w:sz w:val="28"/>
              </w:rPr>
            </w:pPr>
          </w:p>
        </w:tc>
        <w:tc>
          <w:tcPr>
            <w:tcW w:w="1400" w:type="dxa"/>
            <w:gridSpan w:val="2"/>
            <w:tcBorders>
              <w:tl2br w:val="nil"/>
              <w:tr2bl w:val="nil"/>
            </w:tcBorders>
            <w:shd w:val="clear" w:color="auto" w:fill="auto"/>
            <w:vAlign w:val="center"/>
          </w:tcPr>
          <w:p w14:paraId="5CCFF695">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49EDDB32">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shd w:val="clear" w:color="auto" w:fill="auto"/>
            <w:vAlign w:val="center"/>
          </w:tcPr>
          <w:p w14:paraId="40200DE7">
            <w:pPr>
              <w:jc w:val="center"/>
              <w:rPr>
                <w:rFonts w:ascii="仿宋" w:hAnsi="仿宋" w:eastAsia="仿宋"/>
                <w:color w:val="000000"/>
                <w:sz w:val="21"/>
                <w:szCs w:val="21"/>
              </w:rPr>
            </w:pPr>
            <w:r>
              <w:rPr>
                <w:rFonts w:hint="eastAsia" w:ascii="宋体" w:hAnsi="宋体" w:eastAsia="宋体" w:cs="仿宋"/>
                <w:b/>
                <w:color w:val="000000"/>
                <w:sz w:val="21"/>
                <w:szCs w:val="21"/>
              </w:rPr>
              <w:t>23.5万</w:t>
            </w:r>
          </w:p>
        </w:tc>
        <w:tc>
          <w:tcPr>
            <w:tcW w:w="1005" w:type="dxa"/>
            <w:tcBorders>
              <w:tl2br w:val="nil"/>
              <w:tr2bl w:val="nil"/>
            </w:tcBorders>
            <w:shd w:val="clear" w:color="auto" w:fill="auto"/>
            <w:vAlign w:val="center"/>
          </w:tcPr>
          <w:p w14:paraId="7E1802B9">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3D3F195B">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14:paraId="46D0D5C8">
            <w:pPr>
              <w:spacing w:line="240" w:lineRule="exact"/>
              <w:jc w:val="center"/>
              <w:rPr>
                <w:rFonts w:ascii="仿宋" w:hAnsi="仿宋" w:eastAsia="仿宋"/>
                <w:color w:val="000000"/>
                <w:sz w:val="21"/>
                <w:szCs w:val="21"/>
              </w:rPr>
            </w:pPr>
            <w:r>
              <w:rPr>
                <w:rFonts w:ascii="宋体" w:hAnsi="宋体" w:eastAsia="宋体" w:cs="仿宋"/>
                <w:b/>
                <w:color w:val="000000"/>
                <w:sz w:val="21"/>
                <w:szCs w:val="21"/>
              </w:rPr>
              <w:t>6500</w:t>
            </w:r>
          </w:p>
        </w:tc>
        <w:tc>
          <w:tcPr>
            <w:tcW w:w="1122" w:type="dxa"/>
            <w:tcBorders>
              <w:tl2br w:val="nil"/>
              <w:tr2bl w:val="nil"/>
            </w:tcBorders>
            <w:vAlign w:val="center"/>
          </w:tcPr>
          <w:p w14:paraId="379FDD1E">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4E6E012A">
            <w:pPr>
              <w:spacing w:line="240" w:lineRule="exact"/>
              <w:rPr>
                <w:rFonts w:ascii="仿宋" w:hAnsi="仿宋" w:eastAsia="仿宋"/>
                <w:color w:val="000000"/>
                <w:sz w:val="21"/>
                <w:szCs w:val="21"/>
              </w:rPr>
            </w:pPr>
            <w:r>
              <w:rPr>
                <w:rFonts w:hint="eastAsia" w:ascii="宋体" w:hAnsi="宋体" w:eastAsia="宋体" w:cs="仿宋"/>
                <w:b/>
                <w:color w:val="000000"/>
                <w:sz w:val="21"/>
                <w:szCs w:val="21"/>
              </w:rPr>
              <w:t>100</w:t>
            </w:r>
          </w:p>
        </w:tc>
      </w:tr>
      <w:tr w14:paraId="6E516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14" w:hRule="exact"/>
        </w:trPr>
        <w:tc>
          <w:tcPr>
            <w:tcW w:w="992" w:type="dxa"/>
            <w:tcBorders>
              <w:tl2br w:val="nil"/>
              <w:tr2bl w:val="nil"/>
            </w:tcBorders>
            <w:vAlign w:val="center"/>
          </w:tcPr>
          <w:p w14:paraId="776C36E8">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8089618">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5A60A307">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17D12721">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627BFAC4">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6E0B812F">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14:paraId="31513F68">
            <w:pPr>
              <w:rPr>
                <w:rFonts w:ascii="仿宋" w:hAnsi="仿宋" w:eastAsia="仿宋" w:cs="仿宋"/>
                <w:color w:val="000000"/>
                <w:sz w:val="21"/>
                <w:szCs w:val="21"/>
                <w:lang w:bidi="ar"/>
              </w:rPr>
            </w:pPr>
          </w:p>
          <w:p w14:paraId="5E1BF496">
            <w:pPr>
              <w:ind w:firstLine="422" w:firstLineChars="200"/>
              <w:rPr>
                <w:rFonts w:ascii="仿宋" w:hAnsi="仿宋" w:eastAsia="仿宋" w:cs="仿宋"/>
                <w:color w:val="000000"/>
                <w:sz w:val="21"/>
                <w:szCs w:val="21"/>
              </w:rPr>
            </w:pPr>
            <w:r>
              <w:rPr>
                <w:rFonts w:hint="eastAsia" w:ascii="宋体" w:hAnsi="宋体" w:eastAsia="宋体" w:cs="仿宋"/>
                <w:b/>
                <w:color w:val="000000"/>
                <w:sz w:val="21"/>
                <w:szCs w:val="21"/>
              </w:rPr>
              <w:t>该报道上接天线、谋篇布局体现高立意，深挖“企”示和真知灼见，充分彰显“智库”担当，是主流媒体立足“开门办报”、坚持“眼光向外、脚步向下”发挥建言资政功能的有益实践。整个报道坚持问题导向，从抓经济稳增长的主旨出发，聚焦多城民营经济发展，以企业实践结合城市政策赋能，采用行进式视角、多方位调研、全媒体传播等方式，展现民企创新生态与韧性活力，调研深入且具有政策参考价值，通过鲜活的企业故事和典型案例，生动展现了神州大地民营企业大显身手正当时的丰富实践以及不同城市各具特色的政策环境，为进一步优化营商环境、充分激发民营企业创新活力提供有益的参考借鉴。特此推荐！</w:t>
            </w:r>
          </w:p>
          <w:p w14:paraId="484F1DA2">
            <w:pPr>
              <w:ind w:firstLine="420" w:firstLineChars="200"/>
              <w:rPr>
                <w:rFonts w:ascii="仿宋" w:hAnsi="仿宋" w:eastAsia="仿宋" w:cs="仿宋"/>
                <w:color w:val="000000"/>
                <w:sz w:val="21"/>
                <w:szCs w:val="21"/>
              </w:rPr>
            </w:pPr>
          </w:p>
          <w:p w14:paraId="4280B17C">
            <w:pPr>
              <w:ind w:firstLine="420" w:firstLineChars="200"/>
              <w:rPr>
                <w:rFonts w:ascii="仿宋" w:hAnsi="仿宋" w:eastAsia="仿宋" w:cs="仿宋"/>
                <w:color w:val="000000"/>
                <w:sz w:val="21"/>
                <w:szCs w:val="21"/>
              </w:rPr>
            </w:pPr>
          </w:p>
          <w:p w14:paraId="728DFE08">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1CAFC8D7">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61384608">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5DC70D4A"/>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7C677">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C5"/>
    <w:rsid w:val="000938C5"/>
    <w:rsid w:val="00107A95"/>
    <w:rsid w:val="0015180D"/>
    <w:rsid w:val="00246FA9"/>
    <w:rsid w:val="002B1C35"/>
    <w:rsid w:val="002B43B5"/>
    <w:rsid w:val="0030792F"/>
    <w:rsid w:val="00317CDA"/>
    <w:rsid w:val="0047195B"/>
    <w:rsid w:val="00490680"/>
    <w:rsid w:val="004A23F6"/>
    <w:rsid w:val="004D5300"/>
    <w:rsid w:val="00572FA8"/>
    <w:rsid w:val="005E156A"/>
    <w:rsid w:val="00624C0C"/>
    <w:rsid w:val="006341E9"/>
    <w:rsid w:val="0072790B"/>
    <w:rsid w:val="007469FD"/>
    <w:rsid w:val="00765CDB"/>
    <w:rsid w:val="00814B4A"/>
    <w:rsid w:val="00844F3D"/>
    <w:rsid w:val="00850F35"/>
    <w:rsid w:val="00A81C94"/>
    <w:rsid w:val="00B14556"/>
    <w:rsid w:val="00B74398"/>
    <w:rsid w:val="00B74F88"/>
    <w:rsid w:val="00BF43A6"/>
    <w:rsid w:val="00C11E8D"/>
    <w:rsid w:val="00CB7B40"/>
    <w:rsid w:val="00D00C34"/>
    <w:rsid w:val="00DB2443"/>
    <w:rsid w:val="00DE3E60"/>
    <w:rsid w:val="00E47C5E"/>
    <w:rsid w:val="00E73A81"/>
    <w:rsid w:val="00E94618"/>
    <w:rsid w:val="00F26417"/>
    <w:rsid w:val="103E4A53"/>
    <w:rsid w:val="291819B2"/>
    <w:rsid w:val="33363900"/>
    <w:rsid w:val="4CA94913"/>
    <w:rsid w:val="5D250E1A"/>
    <w:rsid w:val="70CD2B43"/>
    <w:rsid w:val="73F26870"/>
    <w:rsid w:val="E7F8948C"/>
    <w:rsid w:val="E7FBB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26E5" w:themeColor="hyperlink"/>
      <w:u w:val="single"/>
      <w14:textFill>
        <w14:solidFill>
          <w14:schemeClr w14:val="hlink"/>
        </w14:solidFill>
      </w14:textFill>
    </w:rPr>
  </w:style>
  <w:style w:type="character" w:customStyle="1" w:styleId="8">
    <w:name w:val="页脚 字符"/>
    <w:basedOn w:val="6"/>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1129</Words>
  <Characters>1061</Characters>
  <Lines>8</Lines>
  <Paragraphs>4</Paragraphs>
  <TotalTime>126</TotalTime>
  <ScaleCrop>false</ScaleCrop>
  <LinksUpToDate>false</LinksUpToDate>
  <CharactersWithSpaces>2186</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2026-04-30T20:09:00Z</dcterms:created>
  <dc:creator>EDY</dc:creator>
  <cp:lastModifiedBy>user</cp:lastModifiedBy>
  <dcterms:modified xsi:type="dcterms:W3CDTF">2026-05-07T15:19:23Z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