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40" w:beforeAutospacing="0" w:after="140" w:afterAutospacing="0"/>
        <w:ind w:left="0" w:firstLine="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华文中宋" w:hAnsi="华文中宋" w:eastAsia="华文中宋" w:cs="华文中宋"/>
          <w:i w:val="0"/>
          <w:caps w:val="0"/>
          <w:color w:val="000000"/>
          <w:spacing w:val="0"/>
          <w:sz w:val="21"/>
          <w:szCs w:val="21"/>
          <w:shd w:val="clear" w:fill="FFFFFF"/>
        </w:rPr>
        <w:t>南财V快评：</w:t>
      </w:r>
      <w:r>
        <w:rPr>
          <w:rFonts w:hint="default" w:ascii="华文中宋" w:hAnsi="华文中宋" w:eastAsia="华文中宋" w:cs="华文中宋"/>
          <w:i w:val="0"/>
          <w:caps w:val="0"/>
          <w:color w:val="000000"/>
          <w:spacing w:val="0"/>
          <w:sz w:val="21"/>
          <w:szCs w:val="21"/>
          <w:shd w:val="clear" w:fill="FFFFFF"/>
        </w:rPr>
        <w:t>“无事不扰 有求必应” 凸显实干与真诚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20" w:afterAutospacing="0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在本次粤港澳招商大会的政策宣讲会上，香港、澳门投资促进部门和广东省的商务、发改、科技、工信、人社、自然资源、生态环境和金融部门的有关负责人都一一上台宣讲，全程没有套话，不扯概念，我们现在情况如何，有哪些优势，企业来了，能提供哪些便利和优惠，奖励多少钱，能节省多少税费，没有废话，都是干货。比如：广州设立了2000亿元的产业投资母基金和创新投资母基金。深圳对落地项目投资额达到2亿元的企业，直接奖励1000万元。佛山设立总规模300亿元的制造业转型发展基金、评选示范工厂等，支持企业数字化智能化改造等等，而“无事不扰 有求必应”几乎是每个职能部门都提到的关键词，没事儿不干扰企业正常经营，遇到问题需要解决了，政府职能部门随叫随到。这种“保姆式”的店小二精神，既是大湾区对全球公司的服务承诺，也是除了真金白银的邀请函之外，吸引全球投资的核心软实力，更是签约859个投资项目，总金额超过2.24万亿元的底气所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34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2024-01-31T15:47:13Z</dcterms:created>
  <dc:creator>gaoqian</dc:creator>
  <cp:lastModifiedBy>gaoqian</cp:lastModifiedBy>
  <dcterms:modified xsi:type="dcterms:W3CDTF">2024-01-31T15:47:45Z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