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广东新闻奖报纸、广播电视、新媒体新闻专栏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代表作基本情况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eastAsia="zh-CN"/>
        </w:rPr>
        <w:t>表</w:t>
      </w:r>
    </w:p>
    <w:tbl>
      <w:tblPr>
        <w:tblStyle w:val="3"/>
        <w:tblW w:w="933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8"/>
        <w:gridCol w:w="3544"/>
        <w:gridCol w:w="1617"/>
        <w:gridCol w:w="25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15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132" w:line="400" w:lineRule="exact"/>
              <w:jc w:val="center"/>
              <w:textAlignment w:val="auto"/>
              <w:rPr>
                <w:rFonts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作品标题</w:t>
            </w:r>
          </w:p>
        </w:tc>
        <w:tc>
          <w:tcPr>
            <w:tcW w:w="7742" w:type="dxa"/>
            <w:gridSpan w:val="3"/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40" w:beforeAutospacing="0" w:after="140" w:afterAutospacing="0"/>
              <w:ind w:left="0" w:firstLine="480" w:firstLineChars="200"/>
              <w:jc w:val="both"/>
              <w:rPr>
                <w:rFonts w:ascii="Times New Roman" w:hAnsi="仿宋" w:eastAsia="仿宋" w:cs="仿宋"/>
                <w:kern w:val="0"/>
                <w:sz w:val="30"/>
                <w:szCs w:val="22"/>
                <w:lang w:val="zh-CN" w:bidi="zh-CN"/>
              </w:rPr>
            </w:pPr>
            <w:r>
              <w:rPr>
                <w:rFonts w:ascii="华文中宋" w:hAnsi="华文中宋" w:eastAsia="华文中宋" w:cs="华文中宋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南财V快评：</w:t>
            </w:r>
            <w:r>
              <w:rPr>
                <w:rFonts w:hint="default" w:ascii="华文中宋" w:hAnsi="华文中宋" w:eastAsia="华文中宋" w:cs="华文中宋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“无事不扰 有求必应” 凸显实干与真诚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15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132" w:line="400" w:lineRule="exact"/>
              <w:jc w:val="center"/>
              <w:textAlignment w:val="auto"/>
              <w:rPr>
                <w:rFonts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发表∕刊播日期</w:t>
            </w:r>
          </w:p>
        </w:tc>
        <w:tc>
          <w:tcPr>
            <w:tcW w:w="35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10"/>
                <w:tab w:val="left" w:pos="225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221"/>
              <w:jc w:val="center"/>
              <w:textAlignment w:val="auto"/>
              <w:rPr>
                <w:rFonts w:ascii="仿宋" w:hAnsi="仿宋" w:eastAsia="仿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2"/>
                <w:lang w:val="zh-CN" w:bidi="zh-CN"/>
              </w:rPr>
              <w:t>202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2"/>
                <w:lang w:val="en-US" w:bidi="zh-CN"/>
              </w:rPr>
              <w:t>3</w:t>
            </w:r>
            <w:r>
              <w:rPr>
                <w:rFonts w:ascii="仿宋" w:hAnsi="仿宋" w:eastAsia="仿宋" w:cs="仿宋"/>
                <w:kern w:val="0"/>
                <w:sz w:val="28"/>
                <w:szCs w:val="22"/>
                <w:lang w:val="zh-CN" w:bidi="zh-CN"/>
              </w:rPr>
              <w:t>年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2"/>
                <w:lang w:val="en-US" w:bidi="zh-CN"/>
              </w:rPr>
              <w:t>11</w:t>
            </w:r>
            <w:r>
              <w:rPr>
                <w:rFonts w:ascii="仿宋" w:hAnsi="仿宋" w:eastAsia="仿宋" w:cs="仿宋"/>
                <w:kern w:val="0"/>
                <w:sz w:val="28"/>
                <w:szCs w:val="22"/>
                <w:lang w:val="zh-CN" w:bidi="zh-CN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2"/>
                <w:lang w:val="en-US" w:bidi="zh-CN"/>
              </w:rPr>
              <w:t>9</w:t>
            </w:r>
            <w:r>
              <w:rPr>
                <w:rFonts w:ascii="仿宋" w:hAnsi="仿宋" w:eastAsia="仿宋" w:cs="仿宋"/>
                <w:kern w:val="0"/>
                <w:sz w:val="28"/>
                <w:szCs w:val="22"/>
                <w:lang w:val="zh-CN" w:bidi="zh-CN"/>
              </w:rPr>
              <w:t>日</w:t>
            </w:r>
          </w:p>
        </w:tc>
        <w:tc>
          <w:tcPr>
            <w:tcW w:w="161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10"/>
                <w:tab w:val="left" w:pos="225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221"/>
              <w:jc w:val="center"/>
              <w:textAlignment w:val="auto"/>
              <w:rPr>
                <w:rFonts w:ascii="仿宋" w:hAnsi="仿宋" w:eastAsia="仿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字数∕时长</w:t>
            </w:r>
          </w:p>
        </w:tc>
        <w:tc>
          <w:tcPr>
            <w:tcW w:w="25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10"/>
                <w:tab w:val="left" w:pos="225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221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8"/>
                <w:szCs w:val="22"/>
                <w:lang w:val="en-US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2"/>
                <w:lang w:val="en-US" w:bidi="zh-CN"/>
              </w:rPr>
              <w:t>1分16秒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3" w:hRule="atLeast"/>
          <w:jc w:val="center"/>
        </w:trPr>
        <w:tc>
          <w:tcPr>
            <w:tcW w:w="15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ind w:right="331"/>
              <w:jc w:val="center"/>
              <w:textAlignment w:val="auto"/>
              <w:rPr>
                <w:rFonts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作品评介</w:t>
            </w:r>
          </w:p>
        </w:tc>
        <w:tc>
          <w:tcPr>
            <w:tcW w:w="77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hint="default" w:ascii="Times New Roman" w:hAnsi="仿宋" w:eastAsia="仿宋" w:cs="仿宋"/>
                <w:kern w:val="0"/>
                <w:sz w:val="30"/>
                <w:szCs w:val="22"/>
                <w:lang w:val="en-US" w:bidi="zh-CN"/>
              </w:rPr>
            </w:pPr>
            <w:r>
              <w:rPr>
                <w:rFonts w:hint="eastAsia" w:ascii="Times New Roman" w:hAnsi="仿宋" w:eastAsia="仿宋" w:cs="仿宋"/>
                <w:kern w:val="0"/>
                <w:sz w:val="28"/>
                <w:szCs w:val="28"/>
                <w:lang w:val="en-US" w:bidi="zh-CN"/>
              </w:rPr>
              <w:t>适逢粤港澳大湾区全球招商大会在广州召开，该评论立足会场内外传递的招商引资的各路好声音，汇总各个职能部门掏出的真金白银的优惠政策，抓取“无事不扰 有求必应”一个关键点，以点带面，阐述本次招商大会从上到下，情真意切的招商理念，实在真挚的营商环境。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0" w:hRule="atLeast"/>
          <w:jc w:val="center"/>
        </w:trPr>
        <w:tc>
          <w:tcPr>
            <w:tcW w:w="15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15" w:line="400" w:lineRule="exact"/>
              <w:jc w:val="center"/>
              <w:textAlignment w:val="auto"/>
              <w:rPr>
                <w:rFonts w:ascii="华文中宋" w:hAnsi="仿宋" w:eastAsia="仿宋" w:cs="仿宋"/>
                <w:kern w:val="0"/>
                <w:sz w:val="31"/>
                <w:szCs w:val="22"/>
                <w:lang w:val="zh-CN" w:bidi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ind w:right="331"/>
              <w:jc w:val="center"/>
              <w:textAlignment w:val="auto"/>
              <w:rPr>
                <w:rFonts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采编过程</w:t>
            </w:r>
          </w:p>
        </w:tc>
        <w:tc>
          <w:tcPr>
            <w:tcW w:w="77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hint="default" w:ascii="Times New Roman" w:hAnsi="仿宋" w:eastAsia="仿宋" w:cs="仿宋"/>
                <w:kern w:val="0"/>
                <w:sz w:val="30"/>
                <w:szCs w:val="22"/>
                <w:lang w:val="en-US" w:bidi="zh-CN"/>
              </w:rPr>
            </w:pPr>
            <w:r>
              <w:rPr>
                <w:rFonts w:hint="eastAsia" w:ascii="Times New Roman" w:hAnsi="仿宋" w:eastAsia="仿宋" w:cs="仿宋"/>
                <w:kern w:val="0"/>
                <w:sz w:val="21"/>
                <w:szCs w:val="21"/>
                <w:lang w:val="en-US" w:bidi="zh-CN"/>
              </w:rPr>
              <w:t>该评论的作者即出镜主持人，当时也是粤港澳大湾区全球招商大会的现场司仪，基于现场反馈的真情实感，写作完成了该评论内容，招商政策宣讲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全程没有套话，不扯概念，我们现在情况如何，有哪些优势，企业来了，能提供哪些便利和优惠，奖励多少钱，能节省多少税费，没有废话，都是干货。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而“无事不扰 有求必应”几乎是每个职能部门都提到的关键词，没事儿不干扰企业正常经营，遇到问题需要解决了，政府职能部门随叫随到。这种“保姆式”的店小二精神，既是大湾区对全球公司的服务承诺，也是除了真金白银的邀请函之外，吸引全球投资的核心软实力，更是签约859个投资项目，总金额超过2.24万亿元的底气所在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1" w:hRule="atLeast"/>
          <w:jc w:val="center"/>
        </w:trPr>
        <w:tc>
          <w:tcPr>
            <w:tcW w:w="15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auto"/>
              <w:rPr>
                <w:rFonts w:ascii="华文中宋" w:hAnsi="仿宋" w:eastAsia="仿宋" w:cs="仿宋"/>
                <w:kern w:val="0"/>
                <w:sz w:val="32"/>
                <w:szCs w:val="22"/>
                <w:lang w:val="zh-CN" w:bidi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ind w:right="331"/>
              <w:jc w:val="center"/>
              <w:textAlignment w:val="auto"/>
              <w:rPr>
                <w:rFonts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社会效果</w:t>
            </w:r>
          </w:p>
        </w:tc>
        <w:tc>
          <w:tcPr>
            <w:tcW w:w="77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hint="default" w:ascii="Times New Roman" w:hAnsi="仿宋" w:eastAsia="仿宋" w:cs="仿宋"/>
                <w:kern w:val="0"/>
                <w:sz w:val="30"/>
                <w:szCs w:val="22"/>
                <w:lang w:val="en-US" w:bidi="zh-CN"/>
              </w:rPr>
            </w:pPr>
            <w:r>
              <w:rPr>
                <w:rFonts w:hint="eastAsia" w:ascii="Times New Roman" w:hAnsi="仿宋" w:eastAsia="仿宋" w:cs="仿宋"/>
                <w:kern w:val="0"/>
                <w:sz w:val="30"/>
                <w:szCs w:val="22"/>
                <w:lang w:val="en-US" w:bidi="zh-CN"/>
              </w:rPr>
              <w:t>粤港澳大湾区全球招商大会是立足湾区面向世界的年度招商盛会，该评论通过“无事不扰 有求必应”的小切口，展示大湾区健康优良的营商环境，和情真意切的招商理念，在新媒体端分发有着不错的传播效果。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7" w:hRule="atLeast"/>
          <w:jc w:val="center"/>
        </w:trPr>
        <w:tc>
          <w:tcPr>
            <w:tcW w:w="15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auto"/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作品链接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auto"/>
              <w:rPr>
                <w:rFonts w:ascii="华文中宋" w:hAnsi="仿宋" w:eastAsia="仿宋" w:cs="仿宋"/>
                <w:kern w:val="0"/>
                <w:sz w:val="32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和二维码</w:t>
            </w:r>
          </w:p>
        </w:tc>
        <w:tc>
          <w:tcPr>
            <w:tcW w:w="77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ascii="Times New Roman" w:hAnsi="仿宋" w:eastAsia="仿宋" w:cs="仿宋"/>
                <w:kern w:val="0"/>
                <w:sz w:val="30"/>
                <w:szCs w:val="22"/>
                <w:lang w:val="zh-CN" w:bidi="zh-CN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787355"/>
    <w:rsid w:val="0778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2024-01-31T13:50:00Z</dcterms:created>
  <dc:creator>gaoqian</dc:creator>
  <cp:lastModifiedBy>gaoqian</cp:lastModifiedBy>
  <dcterms:modified xsi:type="dcterms:W3CDTF">2024-01-31T15:27:28Z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